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Storia delle Madri costituenti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2 giugno 1946: in Italia il referendum istituzionale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su monarchia e repubblica si svolge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a suffragio universale maschile e femminile, attivo e passivo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(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eleggere ed essere eletti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)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Si vota anche per eleggere l’Assemblea nazionale Costituente: 556 </w:t>
      </w:r>
      <w:bookmarkStart w:id="0" w:name="_GoBack"/>
      <w:bookmarkEnd w:id="0"/>
      <w:r>
        <w:rPr>
          <w:b w:val="false"/>
          <w:bCs w:val="false"/>
          <w:i w:val="false"/>
          <w:iCs w:val="false"/>
          <w:sz w:val="24"/>
          <w:szCs w:val="24"/>
          <w:u w:val="none"/>
        </w:rPr>
        <w:t>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eputati. Nella Commissione dei 75, per redigere il testo della nuova Costituzione, entrano 5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eputate. Lo Statuto albertino, “concesso” dal re Carlo Alberto nel 1848, era decaduto con la Monarchia.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L’inferiorità giuridica, sociale , culturale, in cui le </w:t>
      </w:r>
      <w:r>
        <w:rPr>
          <w:sz w:val="24"/>
          <w:szCs w:val="24"/>
        </w:rPr>
        <w:t>d</w:t>
      </w:r>
      <w:r>
        <w:rPr>
          <w:sz w:val="24"/>
          <w:szCs w:val="24"/>
        </w:rPr>
        <w:t>onne da secoli sono state chiuse ed emarginate, è la causa delle disuguaglianze e discriminazioni della condizione femminile.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Tocca alle “invisibili” entrare in scena. Donne oscurate e nell’oscurità.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Per abbattere pregiudizi e barriere ci sono voluti tempi lunghi di lotte da parte di organizzazioni e movimenti femminili  nel </w:t>
      </w:r>
      <w:r>
        <w:rPr>
          <w:sz w:val="24"/>
          <w:szCs w:val="24"/>
        </w:rPr>
        <w:t>m</w:t>
      </w:r>
      <w:r>
        <w:rPr>
          <w:sz w:val="24"/>
          <w:szCs w:val="24"/>
        </w:rPr>
        <w:t>ondo, in Europa e in Italia.  Ancora queste lotte sono attive.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Per i diritti civili sono state protagoniste le Suffragette (suffragio = il voto).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In Italia il movimento per il diritto di voto è attivo tra il 1903 e il 1913.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Il diritto di voto: 1869 U.S.A. e Inghilterra (amministrativo); 1906 Finlandia; 1913 Norvegia; 1915 Danimarca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Islanda; 1919 Germania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Svezia; 1945 Italia (decreto Bonomi solo elettrici); 1946 Francia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Italia (elettrici ed elette).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L’opinione pubblica, la circolazione delle idee, l’alfabetizzazione, l’obbligo scolastico danno voce ai principi paritari e alle rivendicazioni. Furono le guerre a mettere in luce il contributo delle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onne nella società. Oltre ai tradizionali ruoli all’interno delle mura domestiche, le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onne sostituiscono padri, fratelli, mariti, chiamati al fronte, nelle campagne, nelle fabbriche, nelle botteghe. L’economia di guerra nella guerra totale occupa milioni di </w:t>
      </w:r>
      <w:r>
        <w:rPr>
          <w:sz w:val="24"/>
          <w:szCs w:val="24"/>
        </w:rPr>
        <w:t>d</w:t>
      </w:r>
      <w:r>
        <w:rPr>
          <w:sz w:val="24"/>
          <w:szCs w:val="24"/>
        </w:rPr>
        <w:t>onne nella produzione bellica, nell’industria pesante. Lavoratrici con basso potere contrattuale, quindi meno retribuite con meno diritti, trattandosi di occupazione provvisoria, a tempo determinato, precaria.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La parità di genere è necessaria e contribuisce a incrinare i secolari pregiudizi.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Tra la fine del 1800 e gli inizi del 1900, anche sulla spinta di analoghi movimenti internazionali, nasce a Milano l’Unione femminile, poi il Consiglio Nazionale Donne italiane, composto prevalentemente da donne aristocratiche, borghesi, socialiste. Ha finalità filantropiche, assistenziali e culturali. Organizza beneficenza, corsi di avviamento al lavoro, biblioteche circolanti, corsi di igiene, sostegno alle madri povere. Si formano anche comitati nazionali per il voto alle donne. Bisogna convincere le donne a superare il rifiuto della politica, vista come una minaccia all’identità femminile, perdita di femminilità, mascolinizzazione.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Nascono organizzazioni femminili a sostegno della partecipazione delle donne nella società: U</w:t>
      </w:r>
      <w:r>
        <w:rPr>
          <w:sz w:val="24"/>
          <w:szCs w:val="24"/>
        </w:rPr>
        <w:t>nione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onne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>taliane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U.D.I.</w:t>
      </w:r>
      <w:r>
        <w:rPr>
          <w:sz w:val="24"/>
          <w:szCs w:val="24"/>
        </w:rPr>
        <w:t>)</w:t>
      </w:r>
      <w:r>
        <w:rPr>
          <w:sz w:val="24"/>
          <w:szCs w:val="24"/>
        </w:rPr>
        <w:t>, C</w:t>
      </w:r>
      <w:r>
        <w:rPr>
          <w:sz w:val="24"/>
          <w:szCs w:val="24"/>
        </w:rPr>
        <w:t>omitato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>taliano</w:t>
      </w: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>emminile</w:t>
      </w:r>
      <w:r>
        <w:rPr>
          <w:sz w:val="24"/>
          <w:szCs w:val="24"/>
        </w:rPr>
        <w:t>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Si diffonde la cultura delle donne anche attraverso le riviste: “N</w:t>
      </w:r>
      <w:r>
        <w:rPr>
          <w:sz w:val="24"/>
          <w:szCs w:val="24"/>
        </w:rPr>
        <w:t>oi donne”</w:t>
      </w:r>
      <w:r>
        <w:rPr>
          <w:sz w:val="24"/>
          <w:szCs w:val="24"/>
        </w:rPr>
        <w:t>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Alla caduta del regime fascista e all’avvio della storia repubblicana, tra il 1945 e il 1946, si concretizza il suffragio universale. Nel 1945 il decreto Bonomi introduce il voto alle donne (solo per elettorato attivo).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Il 2 giugno 1946 per il referendum istituzionale (monarchia o repubblica) e per l’elezione dell’Assemblea nazionale costituente oltre 14.000.000 di donne entrano per la prima volta in una cabina elettorale.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Sono eletti 556 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eputati </w:t>
      </w:r>
      <w:r>
        <w:rPr>
          <w:sz w:val="24"/>
          <w:szCs w:val="24"/>
        </w:rPr>
        <w:t>e deputate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21 sono le donne: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- 9 della DC: </w:t>
      </w:r>
      <w:r>
        <w:rPr>
          <w:sz w:val="24"/>
          <w:szCs w:val="24"/>
        </w:rPr>
        <w:t xml:space="preserve">Angela Guidi Cingolani </w:t>
      </w:r>
      <w:r>
        <w:rPr>
          <w:sz w:val="24"/>
          <w:szCs w:val="24"/>
        </w:rPr>
        <w:t>(</w:t>
      </w:r>
      <w:r>
        <w:rPr>
          <w:sz w:val="24"/>
          <w:szCs w:val="24"/>
        </w:rPr>
        <w:t>Roma 1896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Maria Agamben Federici </w:t>
      </w:r>
      <w:r>
        <w:rPr>
          <w:sz w:val="24"/>
          <w:szCs w:val="24"/>
        </w:rPr>
        <w:t>(</w:t>
      </w:r>
      <w:r>
        <w:rPr>
          <w:sz w:val="24"/>
          <w:szCs w:val="24"/>
        </w:rPr>
        <w:t>L’Aquila 1899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Vittoria Titomanlio </w:t>
      </w:r>
      <w:r>
        <w:rPr>
          <w:sz w:val="24"/>
          <w:szCs w:val="24"/>
        </w:rPr>
        <w:t>(</w:t>
      </w:r>
      <w:r>
        <w:rPr>
          <w:sz w:val="24"/>
          <w:szCs w:val="24"/>
        </w:rPr>
        <w:t>Barletta 1899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Angela Gotelli </w:t>
      </w:r>
      <w:r>
        <w:rPr>
          <w:sz w:val="24"/>
          <w:szCs w:val="24"/>
        </w:rPr>
        <w:t>(</w:t>
      </w:r>
      <w:r>
        <w:rPr>
          <w:sz w:val="24"/>
          <w:szCs w:val="24"/>
        </w:rPr>
        <w:t>Albareto 1905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Maria Nicotra </w:t>
      </w:r>
      <w:r>
        <w:rPr>
          <w:sz w:val="24"/>
          <w:szCs w:val="24"/>
        </w:rPr>
        <w:t>(</w:t>
      </w:r>
      <w:r>
        <w:rPr>
          <w:sz w:val="24"/>
          <w:szCs w:val="24"/>
        </w:rPr>
        <w:t>Catania 1913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Maria de Unterrichter </w:t>
      </w:r>
      <w:r>
        <w:rPr>
          <w:sz w:val="24"/>
          <w:szCs w:val="24"/>
        </w:rPr>
        <w:t>(</w:t>
      </w:r>
      <w:r>
        <w:rPr>
          <w:sz w:val="24"/>
          <w:szCs w:val="24"/>
        </w:rPr>
        <w:t>Ossana 1902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Laura Bianchini </w:t>
      </w:r>
      <w:r>
        <w:rPr>
          <w:sz w:val="24"/>
          <w:szCs w:val="24"/>
        </w:rPr>
        <w:t>(</w:t>
      </w:r>
      <w:r>
        <w:rPr>
          <w:sz w:val="24"/>
          <w:szCs w:val="24"/>
        </w:rPr>
        <w:t>Castenedolo 1903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Filomena Delli Castelli </w:t>
      </w:r>
      <w:r>
        <w:rPr>
          <w:sz w:val="24"/>
          <w:szCs w:val="24"/>
        </w:rPr>
        <w:t>(</w:t>
      </w:r>
      <w:r>
        <w:rPr>
          <w:sz w:val="24"/>
          <w:szCs w:val="24"/>
        </w:rPr>
        <w:t>Pescara 1916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Elisabetta Conci </w:t>
      </w:r>
      <w:r>
        <w:rPr>
          <w:sz w:val="24"/>
          <w:szCs w:val="24"/>
        </w:rPr>
        <w:t>(</w:t>
      </w:r>
      <w:r>
        <w:rPr>
          <w:sz w:val="24"/>
          <w:szCs w:val="24"/>
        </w:rPr>
        <w:t>Trento 1895</w:t>
      </w:r>
      <w:r>
        <w:rPr>
          <w:sz w:val="24"/>
          <w:szCs w:val="24"/>
        </w:rPr>
        <w:t>);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- 9 del PCI: </w:t>
      </w:r>
      <w:r>
        <w:rPr>
          <w:sz w:val="24"/>
          <w:szCs w:val="24"/>
        </w:rPr>
        <w:t xml:space="preserve">Teresa Mattei </w:t>
      </w:r>
      <w:r>
        <w:rPr>
          <w:sz w:val="24"/>
          <w:szCs w:val="24"/>
        </w:rPr>
        <w:t xml:space="preserve">(Genova </w:t>
      </w:r>
      <w:r>
        <w:rPr>
          <w:sz w:val="24"/>
          <w:szCs w:val="24"/>
        </w:rPr>
        <w:t>1921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Adele Bei </w:t>
      </w:r>
      <w:r>
        <w:rPr>
          <w:sz w:val="24"/>
          <w:szCs w:val="24"/>
        </w:rPr>
        <w:t>(</w:t>
      </w:r>
      <w:r>
        <w:rPr>
          <w:sz w:val="24"/>
          <w:szCs w:val="24"/>
        </w:rPr>
        <w:t>Cantiano 1904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Maria Maddalena Rossi </w:t>
      </w:r>
      <w:r>
        <w:rPr>
          <w:sz w:val="24"/>
          <w:szCs w:val="24"/>
        </w:rPr>
        <w:t>(</w:t>
      </w:r>
      <w:r>
        <w:rPr>
          <w:sz w:val="24"/>
          <w:szCs w:val="24"/>
        </w:rPr>
        <w:t>Codevilla 1906</w:t>
      </w:r>
      <w:r>
        <w:rPr>
          <w:sz w:val="24"/>
          <w:szCs w:val="24"/>
        </w:rPr>
        <w:t>), R</w:t>
      </w:r>
      <w:r>
        <w:rPr>
          <w:sz w:val="24"/>
          <w:szCs w:val="24"/>
        </w:rPr>
        <w:t xml:space="preserve">ita Montagnana </w:t>
      </w:r>
      <w:r>
        <w:rPr>
          <w:sz w:val="24"/>
          <w:szCs w:val="24"/>
        </w:rPr>
        <w:t>(</w:t>
      </w:r>
      <w:r>
        <w:rPr>
          <w:sz w:val="24"/>
          <w:szCs w:val="24"/>
        </w:rPr>
        <w:t>Torino 1895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Nadia Gallico Spano </w:t>
      </w:r>
      <w:r>
        <w:rPr>
          <w:sz w:val="24"/>
          <w:szCs w:val="24"/>
        </w:rPr>
        <w:t>(</w:t>
      </w:r>
      <w:r>
        <w:rPr>
          <w:sz w:val="24"/>
          <w:szCs w:val="24"/>
        </w:rPr>
        <w:t>Tunisia 1916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Nilde Iotti </w:t>
      </w:r>
      <w:r>
        <w:rPr>
          <w:sz w:val="24"/>
          <w:szCs w:val="24"/>
        </w:rPr>
        <w:t>(</w:t>
      </w:r>
      <w:r>
        <w:rPr>
          <w:sz w:val="24"/>
          <w:szCs w:val="24"/>
        </w:rPr>
        <w:t>Reggio Emilia 1920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Teresa Noce </w:t>
      </w:r>
      <w:r>
        <w:rPr>
          <w:sz w:val="24"/>
          <w:szCs w:val="24"/>
        </w:rPr>
        <w:t>(</w:t>
      </w:r>
      <w:r>
        <w:rPr>
          <w:sz w:val="24"/>
          <w:szCs w:val="24"/>
        </w:rPr>
        <w:t>Torino 1900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Elettra Pollastrini </w:t>
      </w:r>
      <w:r>
        <w:rPr>
          <w:sz w:val="24"/>
          <w:szCs w:val="24"/>
        </w:rPr>
        <w:t>(</w:t>
      </w:r>
      <w:r>
        <w:rPr>
          <w:sz w:val="24"/>
          <w:szCs w:val="24"/>
        </w:rPr>
        <w:t>Rieti 1908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Angiola Minella </w:t>
      </w:r>
      <w:r>
        <w:rPr>
          <w:sz w:val="24"/>
          <w:szCs w:val="24"/>
        </w:rPr>
        <w:t>(</w:t>
      </w:r>
      <w:r>
        <w:rPr>
          <w:sz w:val="24"/>
          <w:szCs w:val="24"/>
        </w:rPr>
        <w:t>Torino 1920</w:t>
      </w:r>
      <w:r>
        <w:rPr>
          <w:sz w:val="24"/>
          <w:szCs w:val="24"/>
        </w:rPr>
        <w:t>);</w:t>
      </w:r>
    </w:p>
    <w:p>
      <w:pPr>
        <w:pStyle w:val="Normal"/>
        <w:jc w:val="left"/>
        <w:rPr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  <w:t xml:space="preserve">- 2 del PSI: </w:t>
      </w:r>
      <w:r>
        <w:rPr>
          <w:sz w:val="24"/>
          <w:szCs w:val="24"/>
        </w:rPr>
        <w:t xml:space="preserve">Angela Lina Merlin </w:t>
      </w:r>
      <w:r>
        <w:rPr>
          <w:sz w:val="24"/>
          <w:szCs w:val="24"/>
        </w:rPr>
        <w:t>(</w:t>
      </w:r>
      <w:r>
        <w:rPr>
          <w:sz w:val="24"/>
          <w:szCs w:val="24"/>
        </w:rPr>
        <w:t>Pozzonovo 1887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Bianca Bianchi </w:t>
      </w:r>
      <w:r>
        <w:rPr>
          <w:sz w:val="24"/>
          <w:szCs w:val="24"/>
        </w:rPr>
        <w:t>(</w:t>
      </w:r>
      <w:r>
        <w:rPr>
          <w:sz w:val="24"/>
          <w:szCs w:val="24"/>
        </w:rPr>
        <w:t>Vicchio di Mugello 1914</w:t>
      </w:r>
      <w:r>
        <w:rPr>
          <w:sz w:val="24"/>
          <w:szCs w:val="24"/>
        </w:rPr>
        <w:t>);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- 1 </w:t>
      </w:r>
      <w:r>
        <w:rPr>
          <w:b w:val="false"/>
          <w:bCs w:val="false"/>
          <w:sz w:val="24"/>
          <w:szCs w:val="24"/>
        </w:rPr>
        <w:t>dell’</w:t>
      </w:r>
      <w:r>
        <w:rPr>
          <w:b w:val="false"/>
          <w:bCs w:val="false"/>
          <w:sz w:val="24"/>
          <w:szCs w:val="24"/>
        </w:rPr>
        <w:t xml:space="preserve">Uomo Qualunque: Ottavia Penna </w:t>
      </w: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</w:rPr>
        <w:t>Caltagirone 1907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Normal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5 donne entrano nella Commissione dei 75, contribuendo direttamente alla stesura del testo della proposta di Costituzione: Maria Federici DC, </w:t>
      </w:r>
      <w:r>
        <w:rPr>
          <w:sz w:val="24"/>
          <w:szCs w:val="24"/>
        </w:rPr>
        <w:t>Angela Gotelli DC, Nilde Iotti PCI, Lina Merlin PSI, Teresa Noce PCI.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Per provenienza geografica rappresentano tutta l’Italia da Nord a Sud. Le  origini familiari e le condizioni sociali sono operaie, diplomate, laureate. La maggior parte insegnanti.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Le diverse opinioni politiche non costituiscono un ostacolo. Tutte hanno vissuto l’esperienza della guerra e tutte hanno partecipato in diversi ruoli e formazioni alla Resistenza.  Hanno partecipato alle attività di partito, delle associazioni sindacali, universitarie </w:t>
      </w:r>
      <w:r>
        <w:rPr>
          <w:sz w:val="24"/>
          <w:szCs w:val="24"/>
        </w:rPr>
        <w:t>(</w:t>
      </w:r>
      <w:r>
        <w:rPr>
          <w:sz w:val="24"/>
          <w:szCs w:val="24"/>
        </w:rPr>
        <w:t>F.U.C.I.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, cattoliche </w:t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zione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attolica),</w:t>
      </w:r>
      <w:r>
        <w:rPr>
          <w:sz w:val="24"/>
          <w:szCs w:val="24"/>
        </w:rPr>
        <w:t xml:space="preserve"> sempre dalla parte dell’antifascismo e per questo alcune condannate al confino e alla clandestinità, alla deportazione. Le accomuna il sogno di un mondo di pace, libero dalla violenza, dal razzismo, dalle ingiustizie.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A partire dalle condizioni concrete di vita come recita l’art. 3: la diversità non è causa di disparità. Quando la diversità è causa di differenti condizioni di partenza nella gara della vita, è compito dello Stato rimuovere gli ostacoli, dare pari opportunità.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FAMIGLIA  art.29-30-31-32 (parità tra i coniugi, tra i figli)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ISTRUZIONE  art. 34 (obbligatoria e gratuita)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LAVORO art.37 (parità di retribuzione e tutela della donna lavoratrice)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Diritti e doveri.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</w:t>
      </w:r>
      <w:r>
        <w:rPr>
          <w:b w:val="false"/>
          <w:bCs w:val="false"/>
          <w:sz w:val="24"/>
          <w:szCs w:val="24"/>
        </w:rPr>
        <w:t>onclusione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E oggi?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Chiudo. Anzi apro con delle domande, forse retoriche, forse vere domande: </w:t>
      </w:r>
      <w:r>
        <w:rPr>
          <w:sz w:val="24"/>
          <w:szCs w:val="24"/>
        </w:rPr>
        <w:t>L</w:t>
      </w:r>
      <w:r>
        <w:rPr>
          <w:sz w:val="24"/>
          <w:szCs w:val="24"/>
        </w:rPr>
        <w:t xml:space="preserve">a parità per cui si sono battute le Madri costituenti è davvero raggiunta e attuata? L’uguaglianza senza alcuna distinzione è una enunciazione formale, a parole, o sostanziale nella concreta realtà? La Repubblica, vale a dire lo Stato, le sue Istituzioni hanno rimosso, rimuovono gli ostacoli che impediscono la piena attuazione dell’uguaglianza, garantendo quelle pari opportunità necessarie a stabilire eque condizioni di partenza? Perché la linea di partenza non è per tutti uguale? Ci sono regole nella gara della vita? Dove sono scritte? Che cosa sono le condizioni di partenza?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Sono: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Il luogo dove nasciamo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La famiglia in cui nasciamo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Le nostre caratteristiche fisiche abili o diversamente abili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Il nostro carattere, temperamento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Le capacità intellettive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La qualità degli apprendimenti ricevuti</w:t>
      </w:r>
    </w:p>
    <w:p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Le regole sono scritte nella Costituzione.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C’è materia su cui confrontarci e riflettere.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Chiedo: le 99.000 donne che nel tragico anno di pandemia hanno perso il posto di lavoro di quali ostacoli sono vittime?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Forse non sono bastati i congedi parentali concessi ad entrambi i genitori per garantire l’assistenza ai figli nel lungo periodo di chiusura delle scuole?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Oppure svolgevano mansioni poco rilevanti nell’azienda, quindi… a perdere?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Ancora: alle donne vittime di femminicidio, di violenza, di molestie e abusi che cosa è mancato per difendersi?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Alle donne che aspirano a ruoli di responsabilità, a migliorare mansioni e carriera garantiamo semplicemente l’applicazione delle quote rosa, una spartizione di cariche?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Il percorso formativo delle donne, i livelli di studio sono più alti di quelli maschili.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Ma questo dato non coincide con altrettanta presenza delle donne in alcuni ambiti lavorativi o nelle cariche istituzionali. Il soffitto di cristallo incombe.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Un’ambigua parità, non attuata. 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Teresa Mattei celebrava l’approvazione del principio di uguaglianza nella Costituzione affermando: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 xml:space="preserve">Nasce finalmente una democrazia di donne e di uomini”, perché consapevole che un Paese cresce se include, valorizza e rilancia </w:t>
      </w:r>
      <w:r>
        <w:rPr>
          <w:sz w:val="24"/>
          <w:szCs w:val="24"/>
        </w:rPr>
        <w:t>tutti</w:t>
      </w:r>
      <w:r>
        <w:rPr>
          <w:sz w:val="24"/>
          <w:szCs w:val="24"/>
        </w:rPr>
        <w:t xml:space="preserve"> i suoi Cittadini e Cittadine.</w:t>
      </w:r>
    </w:p>
    <w:p>
      <w:pPr>
        <w:pStyle w:val="Normal"/>
        <w:spacing w:before="0" w:after="200"/>
        <w:jc w:val="lef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leEmphasis">
    <w:name w:val="Subtle Emphasis"/>
    <w:basedOn w:val="DefaultParagraphFont"/>
    <w:uiPriority w:val="19"/>
    <w:qFormat/>
    <w:rsid w:val="00721e1a"/>
    <w:rPr>
      <w:i/>
      <w:iCs/>
      <w:color w:val="808080" w:themeColor="text1" w:themeTint="7f"/>
    </w:rPr>
  </w:style>
  <w:style w:type="character" w:styleId="SottotitoloCarattere" w:customStyle="1">
    <w:name w:val="Sottotitolo Carattere"/>
    <w:basedOn w:val="DefaultParagraphFont"/>
    <w:uiPriority w:val="11"/>
    <w:qFormat/>
    <w:rsid w:val="00721e1a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721e1a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ea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LibreOffice/7.4.1.2$Windows_X86_64 LibreOffice_project/3c58a8f3a960df8bc8fd77b461821e42c061c5f0</Application>
  <AppVersion>15.0000</AppVersion>
  <Pages>4</Pages>
  <Words>1129</Words>
  <Characters>6677</Characters>
  <CharactersWithSpaces>7760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2023-05-31T12:32:00Z</dcterms:created>
  <dc:creator>Redaelli</dc:creator>
  <dc:description/>
  <dc:language>it-IT</dc:language>
  <cp:lastModifiedBy/>
  <dcterms:modified xsi:type="dcterms:W3CDTF">2023-06-03T09:09:19Z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